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C99" w:rsidRPr="00703C99" w:rsidRDefault="00703C99" w:rsidP="00703C99">
      <w:pPr>
        <w:jc w:val="center"/>
        <w:rPr>
          <w:rFonts w:ascii="Times New Roman" w:hAnsi="Times New Roman" w:cs="Times New Roman"/>
          <w:b/>
        </w:rPr>
      </w:pPr>
      <w:r w:rsidRPr="00703C99">
        <w:rPr>
          <w:rFonts w:ascii="Times New Roman" w:hAnsi="Times New Roman" w:cs="Times New Roman"/>
          <w:b/>
        </w:rPr>
        <w:t>Clearing-Houses: Double-Crossed</w:t>
      </w:r>
    </w:p>
    <w:p w:rsidR="00703C99" w:rsidRPr="00703C99" w:rsidRDefault="00703C99" w:rsidP="00703C99">
      <w:pPr>
        <w:jc w:val="center"/>
        <w:rPr>
          <w:rFonts w:ascii="Times New Roman" w:hAnsi="Times New Roman" w:cs="Times New Roman"/>
        </w:rPr>
      </w:pPr>
    </w:p>
    <w:p w:rsidR="00703C99" w:rsidRPr="00703C99" w:rsidRDefault="00703C99" w:rsidP="00703C99">
      <w:pPr>
        <w:jc w:val="center"/>
        <w:rPr>
          <w:rFonts w:ascii="Times New Roman" w:hAnsi="Times New Roman" w:cs="Times New Roman"/>
        </w:rPr>
      </w:pPr>
      <w:r w:rsidRPr="00703C99">
        <w:rPr>
          <w:rFonts w:ascii="Times New Roman" w:hAnsi="Times New Roman" w:cs="Times New Roman"/>
        </w:rPr>
        <w:t>Bigger may not be better when it comes to clearing-houses</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The bookmaker on Aldgate High Street, on the fringes of London</w:t>
      </w:r>
      <w:r w:rsidR="00C173B8">
        <w:rPr>
          <w:rFonts w:ascii="Times New Roman" w:hAnsi="Times New Roman" w:cs="Times New Roman"/>
        </w:rPr>
        <w:t>’</w:t>
      </w:r>
      <w:r w:rsidRPr="00703C99">
        <w:rPr>
          <w:rFonts w:ascii="Times New Roman" w:hAnsi="Times New Roman" w:cs="Times New Roman"/>
        </w:rPr>
        <w:t>s financial district, attracts its fair share of risk-takers. But across the road, at the offices of LCH.Clearnet, part of the London Stock Exchange Group (LSE), the really big bets are handled. It and other clearing-houses now occupy a central position in high finance. They ensure that trillions of dollars are paid out on derivatives contracts each day. A decade of dealmaking has created five big beasts of clearing: LSE, Deutsche Börse, CME Group, ICE and HKEX. A planned merger between LSE and the Germans would reduce that to four.</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 xml:space="preserve">LSE and Deutsche Börse take their names from their respective bourses. But they now make more money from their clearing-houses, LCH.Clearnet and Eurex Clearing. That is because the clearing of derivatives has become central </w:t>
      </w:r>
      <w:r>
        <w:rPr>
          <w:rFonts w:ascii="Times New Roman" w:hAnsi="Times New Roman" w:cs="Times New Roman"/>
        </w:rPr>
        <w:t>to the modern financial system.</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Imagine two banks want to hedge against interest-rate movements, but in opposite directions. They sign a contract that will lead to a payment from one to the other if rates rise, and the reverse if they fall. The potential loss or gain is theoretically unlimited, since there is no ceiling (or floor, as the world is fast learning) to rates. To make sure the other party is able to pay up, the two will often work through a middleman – the clearing-house. For a fee, the clearing-house signs two offsetting but technically separate derivatives contracts with the two parties. As long as both know that it is good for the money, they know their bets are solid.</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But the clearing-house is now left with the risk that the losing party fails to stump up. So it asks the two parties to post collateral, or margin, which it can keep if one of them defaults. That way the clearing-house only suffers if the defaulting party owes more than the margin it has posted.</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In theory, this system makes bank failures less contagious and the financial system more resilient. In 2009 the G20, a club of big economies, decided that simple derivatives contracts should all be put through clearing-houses, rather than settled directly between the two parties. As a result, clearing-houses, also known as central counterparties, now handle trades with a notional worth of hundreds of trillions of dollars.</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 xml:space="preserve">The more margin the clearing-houses take, the safer they are. The required margin is calculated using sophisticated actuarial models, and is heavily regulated. The riskier a trade, naturally, the more margin is needed. LCH.Clearnet and Eurex Clearing hold some €150 billion ($170 billion) in collateral between them. Deutsche Börse notes that its large margin pool helps to ensure the </w:t>
      </w:r>
      <w:r w:rsidR="00C173B8">
        <w:rPr>
          <w:rFonts w:ascii="Times New Roman" w:hAnsi="Times New Roman" w:cs="Times New Roman"/>
        </w:rPr>
        <w:t>“</w:t>
      </w:r>
      <w:r w:rsidRPr="00703C99">
        <w:rPr>
          <w:rFonts w:ascii="Times New Roman" w:hAnsi="Times New Roman" w:cs="Times New Roman"/>
        </w:rPr>
        <w:t>safety, resiliency and transparency of global financial markets</w:t>
      </w:r>
      <w:r w:rsidR="00C173B8">
        <w:rPr>
          <w:rFonts w:ascii="Times New Roman" w:hAnsi="Times New Roman" w:cs="Times New Roman"/>
        </w:rPr>
        <w:t>”</w:t>
      </w:r>
      <w:r w:rsidRPr="00703C99">
        <w:rPr>
          <w:rFonts w:ascii="Times New Roman" w:hAnsi="Times New Roman" w:cs="Times New Roman"/>
        </w:rPr>
        <w:t>. But having to put up more collateral is expensive for customers. Clearing-houses, which compete for customers, therefore have an incentive not to take too much.</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Banks don</w:t>
      </w:r>
      <w:r w:rsidR="00C173B8">
        <w:rPr>
          <w:rFonts w:ascii="Times New Roman" w:hAnsi="Times New Roman" w:cs="Times New Roman"/>
        </w:rPr>
        <w:t>’</w:t>
      </w:r>
      <w:r w:rsidRPr="00703C99">
        <w:rPr>
          <w:rFonts w:ascii="Times New Roman" w:hAnsi="Times New Roman" w:cs="Times New Roman"/>
        </w:rPr>
        <w:t xml:space="preserve">t just bet on interest rates, of course. They may also buy derivatives tied to bond </w:t>
      </w:r>
      <w:r w:rsidRPr="00703C99">
        <w:rPr>
          <w:rFonts w:ascii="Times New Roman" w:hAnsi="Times New Roman" w:cs="Times New Roman"/>
        </w:rPr>
        <w:lastRenderedPageBreak/>
        <w:t xml:space="preserve">yields or currency movements, say. Some of those prices move in relation to one another in predictable ways. Gains on an interest-rate future may offset losses on a bond-price future, for example. Clearing-houses take such correlations into account when setting the overall amount of collateral they demand from their customers, a technique called </w:t>
      </w:r>
      <w:r w:rsidR="00C173B8">
        <w:rPr>
          <w:rFonts w:ascii="Times New Roman" w:hAnsi="Times New Roman" w:cs="Times New Roman"/>
        </w:rPr>
        <w:t>“</w:t>
      </w:r>
      <w:r w:rsidRPr="00703C99">
        <w:rPr>
          <w:rFonts w:ascii="Times New Roman" w:hAnsi="Times New Roman" w:cs="Times New Roman"/>
        </w:rPr>
        <w:t>cross-margining</w:t>
      </w:r>
      <w:r w:rsidR="00C173B8">
        <w:rPr>
          <w:rFonts w:ascii="Times New Roman" w:hAnsi="Times New Roman" w:cs="Times New Roman"/>
        </w:rPr>
        <w:t>”</w:t>
      </w:r>
      <w:r w:rsidRPr="00703C99">
        <w:rPr>
          <w:rFonts w:ascii="Times New Roman" w:hAnsi="Times New Roman" w:cs="Times New Roman"/>
        </w:rPr>
        <w:t xml:space="preserve"> or </w:t>
      </w:r>
      <w:r w:rsidR="00C173B8">
        <w:rPr>
          <w:rFonts w:ascii="Times New Roman" w:hAnsi="Times New Roman" w:cs="Times New Roman"/>
        </w:rPr>
        <w:t>“</w:t>
      </w:r>
      <w:r w:rsidRPr="00703C99">
        <w:rPr>
          <w:rFonts w:ascii="Times New Roman" w:hAnsi="Times New Roman" w:cs="Times New Roman"/>
        </w:rPr>
        <w:t>portfolio margining</w:t>
      </w:r>
      <w:r w:rsidR="00C173B8">
        <w:rPr>
          <w:rFonts w:ascii="Times New Roman" w:hAnsi="Times New Roman" w:cs="Times New Roman"/>
        </w:rPr>
        <w:t>”</w:t>
      </w:r>
      <w:r w:rsidRPr="00703C99">
        <w:rPr>
          <w:rFonts w:ascii="Times New Roman" w:hAnsi="Times New Roman" w:cs="Times New Roman"/>
        </w:rPr>
        <w:t>. CME Group boasts that its portfolio-margining service can cut margin requirements by 54-80%. LCH.Clearnet</w:t>
      </w:r>
      <w:r w:rsidR="00C173B8">
        <w:rPr>
          <w:rFonts w:ascii="Times New Roman" w:hAnsi="Times New Roman" w:cs="Times New Roman"/>
        </w:rPr>
        <w:t>’</w:t>
      </w:r>
      <w:r w:rsidRPr="00703C99">
        <w:rPr>
          <w:rFonts w:ascii="Times New Roman" w:hAnsi="Times New Roman" w:cs="Times New Roman"/>
        </w:rPr>
        <w:t xml:space="preserve">s </w:t>
      </w:r>
      <w:r w:rsidR="00C173B8">
        <w:rPr>
          <w:rFonts w:ascii="Times New Roman" w:hAnsi="Times New Roman" w:cs="Times New Roman"/>
        </w:rPr>
        <w:t>“</w:t>
      </w:r>
      <w:r w:rsidRPr="00703C99">
        <w:rPr>
          <w:rFonts w:ascii="Times New Roman" w:hAnsi="Times New Roman" w:cs="Times New Roman"/>
        </w:rPr>
        <w:t>Spider</w:t>
      </w:r>
      <w:r w:rsidR="00C173B8">
        <w:rPr>
          <w:rFonts w:ascii="Times New Roman" w:hAnsi="Times New Roman" w:cs="Times New Roman"/>
        </w:rPr>
        <w:t>”</w:t>
      </w:r>
      <w:r w:rsidRPr="00703C99">
        <w:rPr>
          <w:rFonts w:ascii="Times New Roman" w:hAnsi="Times New Roman" w:cs="Times New Roman"/>
        </w:rPr>
        <w:t xml:space="preserve"> and Eurex</w:t>
      </w:r>
      <w:r w:rsidR="00C173B8">
        <w:rPr>
          <w:rFonts w:ascii="Times New Roman" w:hAnsi="Times New Roman" w:cs="Times New Roman"/>
        </w:rPr>
        <w:t>’</w:t>
      </w:r>
      <w:r w:rsidRPr="00703C99">
        <w:rPr>
          <w:rFonts w:ascii="Times New Roman" w:hAnsi="Times New Roman" w:cs="Times New Roman"/>
        </w:rPr>
        <w:t xml:space="preserve">s </w:t>
      </w:r>
      <w:r w:rsidR="00C173B8">
        <w:rPr>
          <w:rFonts w:ascii="Times New Roman" w:hAnsi="Times New Roman" w:cs="Times New Roman"/>
        </w:rPr>
        <w:t>“</w:t>
      </w:r>
      <w:r w:rsidRPr="00703C99">
        <w:rPr>
          <w:rFonts w:ascii="Times New Roman" w:hAnsi="Times New Roman" w:cs="Times New Roman"/>
        </w:rPr>
        <w:t>Prisma</w:t>
      </w:r>
      <w:r w:rsidR="00C173B8">
        <w:rPr>
          <w:rFonts w:ascii="Times New Roman" w:hAnsi="Times New Roman" w:cs="Times New Roman"/>
        </w:rPr>
        <w:t>”</w:t>
      </w:r>
      <w:r w:rsidRPr="00703C99">
        <w:rPr>
          <w:rFonts w:ascii="Times New Roman" w:hAnsi="Times New Roman" w:cs="Times New Roman"/>
        </w:rPr>
        <w:t xml:space="preserve"> services do something similar.</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All of which gives clearing-houses an incentive to merge. Some clients use LCH.Clearnet and Eurex Clearing to make correlated wagers. If the two entities combined, they could use cross-margining to reduce the amount of collateral such customers needed, gaining an advantage over the competition. (The pair say that initially, at least, they would limit such offsetting to perfectly matching derivatives.)</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There is a downside, though. The exchange industry is already highly concentrated. Regardless of who gobbles up LSE (ICE may yet enter the fray), the five big groups will soon become four. As they consolidate, the amount of collateral in the system is likely to be reduced.</w:t>
      </w:r>
    </w:p>
    <w:p w:rsidR="00703C99" w:rsidRPr="00703C99" w:rsidRDefault="00703C99" w:rsidP="00703C99">
      <w:pPr>
        <w:rPr>
          <w:rFonts w:ascii="Times New Roman" w:hAnsi="Times New Roman" w:cs="Times New Roman"/>
        </w:rPr>
      </w:pPr>
    </w:p>
    <w:p w:rsidR="00703C99" w:rsidRPr="00703C99" w:rsidRDefault="00703C99" w:rsidP="00703C99">
      <w:pPr>
        <w:ind w:firstLine="420"/>
        <w:rPr>
          <w:rFonts w:ascii="Times New Roman" w:hAnsi="Times New Roman" w:cs="Times New Roman"/>
        </w:rPr>
      </w:pPr>
      <w:r w:rsidRPr="00703C99">
        <w:rPr>
          <w:rFonts w:ascii="Times New Roman" w:hAnsi="Times New Roman" w:cs="Times New Roman"/>
        </w:rPr>
        <w:t>That could prove risky. Correlations between different asset classes sometimes break down during crises. Such unpredictable movements caused the clearing-house of the Hong Kong Futures Exchange to blow up after the stockmarket crash of 1987, forcing the city</w:t>
      </w:r>
      <w:r w:rsidR="00C173B8">
        <w:rPr>
          <w:rFonts w:ascii="Times New Roman" w:hAnsi="Times New Roman" w:cs="Times New Roman"/>
        </w:rPr>
        <w:t>’</w:t>
      </w:r>
      <w:r w:rsidRPr="00703C99">
        <w:rPr>
          <w:rFonts w:ascii="Times New Roman" w:hAnsi="Times New Roman" w:cs="Times New Roman"/>
        </w:rPr>
        <w:t>s capital markets to close. Such events suggest that models that rely on correlations to trim margin requirements must be ultraconservative.</w:t>
      </w:r>
    </w:p>
    <w:p w:rsidR="00703C99" w:rsidRPr="00703C99" w:rsidRDefault="00703C99" w:rsidP="00703C99">
      <w:pPr>
        <w:rPr>
          <w:rFonts w:ascii="Times New Roman" w:hAnsi="Times New Roman" w:cs="Times New Roman"/>
        </w:rPr>
      </w:pPr>
    </w:p>
    <w:p w:rsidR="00C42FEF" w:rsidRPr="00703C99" w:rsidRDefault="00703C99" w:rsidP="00703C99">
      <w:pPr>
        <w:ind w:firstLine="420"/>
        <w:rPr>
          <w:rFonts w:ascii="Times New Roman" w:hAnsi="Times New Roman" w:cs="Times New Roman"/>
        </w:rPr>
      </w:pPr>
      <w:r w:rsidRPr="00703C99">
        <w:rPr>
          <w:rFonts w:ascii="Times New Roman" w:hAnsi="Times New Roman" w:cs="Times New Roman"/>
        </w:rPr>
        <w:t>There is no evidence that any big clearing-house holds too little collateral. Their models are designed to withstand the simultaneous failure of their two biggest customers. They can also tap big default funds if things go wrong. Regulators are untroubled. But it is a worry, nonetheless, that the logic of competition seems to be ever-bigger clearing-houses with ever less collateral.</w:t>
      </w:r>
    </w:p>
    <w:sectPr w:rsidR="00C42FEF" w:rsidRPr="00703C99"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B55" w:rsidRDefault="000A7B55" w:rsidP="00C173B8">
      <w:r>
        <w:separator/>
      </w:r>
    </w:p>
  </w:endnote>
  <w:endnote w:type="continuationSeparator" w:id="1">
    <w:p w:rsidR="000A7B55" w:rsidRDefault="000A7B55" w:rsidP="00C173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B55" w:rsidRDefault="000A7B55" w:rsidP="00C173B8">
      <w:r>
        <w:separator/>
      </w:r>
    </w:p>
  </w:footnote>
  <w:footnote w:type="continuationSeparator" w:id="1">
    <w:p w:rsidR="000A7B55" w:rsidRDefault="000A7B55" w:rsidP="00C173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C99"/>
    <w:rsid w:val="000A7B55"/>
    <w:rsid w:val="00404FB1"/>
    <w:rsid w:val="00703C99"/>
    <w:rsid w:val="00B16D8C"/>
    <w:rsid w:val="00C173B8"/>
    <w:rsid w:val="00C42FEF"/>
    <w:rsid w:val="00D13885"/>
    <w:rsid w:val="00E62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73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73B8"/>
    <w:rPr>
      <w:sz w:val="18"/>
      <w:szCs w:val="18"/>
    </w:rPr>
  </w:style>
  <w:style w:type="paragraph" w:styleId="a4">
    <w:name w:val="footer"/>
    <w:basedOn w:val="a"/>
    <w:link w:val="Char0"/>
    <w:uiPriority w:val="99"/>
    <w:semiHidden/>
    <w:unhideWhenUsed/>
    <w:rsid w:val="00C173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73B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757</Words>
  <Characters>4319</Characters>
  <Application>Microsoft Office Word</Application>
  <DocSecurity>0</DocSecurity>
  <Lines>35</Lines>
  <Paragraphs>10</Paragraphs>
  <ScaleCrop>false</ScaleCrop>
  <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2017-09-22T04:39:00Z</dcterms:created>
  <dcterms:modified xsi:type="dcterms:W3CDTF">2017-10-16T02:36:00Z</dcterms:modified>
</cp:coreProperties>
</file>